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ANEXO VI-A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DECLARAÇÃO DE AQUISIÇÃO DE PRODUTOS DOS PARTICIPANTES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Declaramos, para fins de participação na Chamada Pública nº 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rtl w:val="0"/>
        </w:rPr>
        <w:t xml:space="preserve">02/2025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do Programa de Aquisição da Produção da Agricultura – PAPA/DF, instituído pela Lei Distrital nº 4.752, de 07 de fevereiro de 2012, regulamentado pelo Decreto Distrital nº 33.642, de 02 de maio de 2012, que todos os produtos a serem fornecidos são produzidos e entregues pelos agricultores familiares listados na Proposta Técnica de Venda – PTV apresentada por esta organização.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Declaro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ainda,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sob as penas da Lei, ter ciência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que os produtos não pode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rão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ser adquiridos de nenhum outro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fornecedor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, quer seja Ceasa, Atacadão, Agricultores patronais, outros agricultores não listados na PTV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o que poderia configurar crime de fraude ao PAPA/DF.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Nome da Organização: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Nº do CNPJ: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Nº DAP/CAF: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Local e Data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Assinatura [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18"/>
          <w:szCs w:val="18"/>
          <w:rtl w:val="0"/>
        </w:rPr>
        <w:t xml:space="preserve">Representante Legal da Organização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Nome: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CPF:</w:t>
      </w:r>
    </w:p>
    <w:sectPr>
      <w:pgSz w:h="16838" w:w="11906" w:orient="portrait"/>
      <w:pgMar w:bottom="1417" w:top="992.12598425196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6Ji4/LajjHW2zYIKdQjauZf1lA==">CgMxLjA4AHIhMThZUVFzSVBjeXNldFRPbjdQdHIzSzJtdEZrYUhUNGo1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2016-04-05T12:36:00Z</dcterms:created>
  <dc:creator>Jefferson Virginio</dc:creator>
</cp:coreProperties>
</file>